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7C" w:rsidRPr="00EA7873" w:rsidRDefault="00B2707C" w:rsidP="00B2707C">
      <w:pPr>
        <w:pStyle w:val="Heading1"/>
        <w:spacing w:line="340" w:lineRule="exact"/>
        <w:rPr>
          <w:rFonts w:ascii="Times" w:hAnsi="Times"/>
          <w:sz w:val="28"/>
          <w:szCs w:val="28"/>
        </w:rPr>
      </w:pPr>
      <w:r>
        <w:rPr>
          <w:rFonts w:ascii="Times" w:hAnsi="Times"/>
          <w:sz w:val="28"/>
          <w:szCs w:val="28"/>
        </w:rPr>
        <w:t>3</w:t>
      </w:r>
      <w:r w:rsidRPr="00EA7873">
        <w:rPr>
          <w:rFonts w:ascii="Times" w:hAnsi="Times"/>
          <w:sz w:val="28"/>
          <w:szCs w:val="28"/>
        </w:rPr>
        <w:t>.</w:t>
      </w:r>
      <w:r>
        <w:rPr>
          <w:rFonts w:ascii="Times" w:hAnsi="Times"/>
          <w:sz w:val="28"/>
          <w:szCs w:val="28"/>
        </w:rPr>
        <w:t xml:space="preserve"> Seven Ways Assessments Can Build Student Motivation</w:t>
      </w:r>
    </w:p>
    <w:p w:rsidR="00B2707C" w:rsidRDefault="00B2707C" w:rsidP="00B2707C">
      <w:pPr>
        <w:spacing w:line="340" w:lineRule="exact"/>
        <w:rPr>
          <w:szCs w:val="22"/>
        </w:rPr>
      </w:pPr>
      <w:proofErr w:type="gramStart"/>
      <w:r>
        <w:rPr>
          <w:szCs w:val="22"/>
        </w:rPr>
        <w:t>(Originally titled “Can Assessments Motivate?)</w:t>
      </w:r>
      <w:proofErr w:type="gramEnd"/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“Many educators believe that success breeds success – </w:t>
      </w:r>
      <w:proofErr w:type="gramStart"/>
      <w:r>
        <w:rPr>
          <w:szCs w:val="22"/>
        </w:rPr>
        <w:t>that achievement leads to motivation,</w:t>
      </w:r>
      <w:proofErr w:type="gramEnd"/>
      <w:r>
        <w:rPr>
          <w:szCs w:val="22"/>
        </w:rPr>
        <w:t xml:space="preserve">” says Richard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 (David </w:t>
      </w:r>
      <w:proofErr w:type="spellStart"/>
      <w:r>
        <w:rPr>
          <w:szCs w:val="22"/>
        </w:rPr>
        <w:t>Yellin</w:t>
      </w:r>
      <w:proofErr w:type="spellEnd"/>
      <w:r>
        <w:rPr>
          <w:szCs w:val="22"/>
        </w:rPr>
        <w:t xml:space="preserve"> Academic College of Education, Jerusalem) in this </w:t>
      </w:r>
      <w:r w:rsidRPr="008659F8">
        <w:rPr>
          <w:i/>
          <w:szCs w:val="22"/>
        </w:rPr>
        <w:t>Educational Leadership</w:t>
      </w:r>
      <w:r>
        <w:rPr>
          <w:szCs w:val="22"/>
        </w:rPr>
        <w:t xml:space="preserve"> article. “However, that’s backward. Motivation or effort leads to success, not the other way around. Cheating, luck, and easy work can all lead to success, but they do not increase motivation.” </w:t>
      </w:r>
      <w:proofErr w:type="gramStart"/>
      <w:r>
        <w:rPr>
          <w:szCs w:val="22"/>
        </w:rPr>
        <w:t>Tests, unfortunately, often kill motivation, says</w:t>
      </w:r>
      <w:proofErr w:type="gramEnd"/>
      <w:r>
        <w:rPr>
          <w:szCs w:val="22"/>
        </w:rPr>
        <w:t xml:space="preserve">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. Test scores and other extrinsic rewards may keep students working, but they create </w:t>
      </w:r>
      <w:r w:rsidRPr="00FC7DF6">
        <w:rPr>
          <w:i/>
          <w:szCs w:val="22"/>
        </w:rPr>
        <w:t>finishers</w:t>
      </w:r>
      <w:r>
        <w:rPr>
          <w:szCs w:val="22"/>
        </w:rPr>
        <w:t>, not learners.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 believes certain assessment practices spur effort and motivation in students. Here are some examples: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Never fail a student who tries</w:t>
      </w:r>
      <w:r>
        <w:rPr>
          <w:i/>
          <w:szCs w:val="22"/>
        </w:rPr>
        <w:t>,</w:t>
      </w:r>
      <w:r w:rsidRPr="00C46780">
        <w:rPr>
          <w:i/>
          <w:szCs w:val="22"/>
        </w:rPr>
        <w:t xml:space="preserve"> and never give top grades to one who doesn’t</w:t>
      </w:r>
      <w:r>
        <w:rPr>
          <w:szCs w:val="22"/>
        </w:rPr>
        <w:t xml:space="preserve">. Effort should be counted as part of grades, he says – improvement should count, as should asking for help, offering to help others, and extra work. </w:t>
      </w:r>
      <w:proofErr w:type="gramStart"/>
      <w:r>
        <w:rPr>
          <w:szCs w:val="22"/>
        </w:rPr>
        <w:t>And students who coast to good grades should be seeking out (or given) more-challenging assignments.</w:t>
      </w:r>
      <w:proofErr w:type="gramEnd"/>
      <w:r>
        <w:rPr>
          <w:szCs w:val="22"/>
        </w:rPr>
        <w:t xml:space="preserve"> 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Start with the positive</w:t>
      </w:r>
      <w:r>
        <w:rPr>
          <w:szCs w:val="22"/>
        </w:rPr>
        <w:t>. Commend students on what they got right before correcting what they got wrong.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See mistakes as learning opportunities</w:t>
      </w:r>
      <w:r>
        <w:rPr>
          <w:szCs w:val="22"/>
        </w:rPr>
        <w:t xml:space="preserve">. “In every life situation, from building relationships to playing computer games, except school, mistakes are important in the learning process,” says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>. Mistakes in school should be used as diagnostic tools.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Give do-overs</w:t>
      </w:r>
      <w:r>
        <w:rPr>
          <w:szCs w:val="22"/>
        </w:rPr>
        <w:t>. Students should be able to learn from their mistakes and try assessments again.</w:t>
      </w:r>
      <w:r>
        <w:rPr>
          <w:szCs w:val="22"/>
        </w:rPr>
        <w:tab/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Show students the final test as they begin a unit</w:t>
      </w:r>
      <w:r>
        <w:rPr>
          <w:szCs w:val="22"/>
        </w:rPr>
        <w:t xml:space="preserve">. “This way, they can see what they need to learn, what the teacher’s priorities are, and how to organize their learning,” says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. </w:t>
      </w:r>
    </w:p>
    <w:p w:rsidR="00B2707C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Prioritize corrections</w:t>
      </w:r>
      <w:r>
        <w:rPr>
          <w:szCs w:val="22"/>
        </w:rPr>
        <w:t>. Too much red ink overwhelms students and makes it more likely that the corrected paper will be thrown away. “Tell students you’ll give them a chance to fix those two most important mistakes, which you’ve marked, before moving on to two more,” he suggests.</w:t>
      </w:r>
    </w:p>
    <w:p w:rsidR="00B2707C" w:rsidRPr="00EA7873" w:rsidRDefault="00B2707C" w:rsidP="00B2707C">
      <w:pPr>
        <w:spacing w:line="340" w:lineRule="exact"/>
        <w:rPr>
          <w:szCs w:val="22"/>
        </w:rPr>
      </w:pPr>
      <w:r>
        <w:rPr>
          <w:szCs w:val="22"/>
        </w:rPr>
        <w:tab/>
        <w:t xml:space="preserve">• </w:t>
      </w:r>
      <w:r w:rsidRPr="00C46780">
        <w:rPr>
          <w:i/>
          <w:szCs w:val="22"/>
        </w:rPr>
        <w:t>Do not compare students</w:t>
      </w:r>
      <w:r>
        <w:rPr>
          <w:szCs w:val="22"/>
        </w:rPr>
        <w:t xml:space="preserve">. Grades should be given based on standards, now how other students are doing, says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>.</w:t>
      </w:r>
    </w:p>
    <w:p w:rsidR="00B2707C" w:rsidRPr="00EA7873" w:rsidRDefault="00B2707C" w:rsidP="00B2707C">
      <w:pPr>
        <w:rPr>
          <w:szCs w:val="22"/>
        </w:rPr>
      </w:pPr>
    </w:p>
    <w:p w:rsidR="00B2707C" w:rsidRPr="00EA7873" w:rsidRDefault="00B2707C" w:rsidP="00B2707C">
      <w:pPr>
        <w:pStyle w:val="Footer"/>
        <w:tabs>
          <w:tab w:val="clear" w:pos="4320"/>
          <w:tab w:val="clear" w:pos="8640"/>
        </w:tabs>
        <w:rPr>
          <w:szCs w:val="22"/>
        </w:rPr>
      </w:pPr>
      <w:r w:rsidRPr="00EA7873">
        <w:rPr>
          <w:szCs w:val="22"/>
        </w:rPr>
        <w:t>“</w:t>
      </w:r>
      <w:r>
        <w:rPr>
          <w:szCs w:val="22"/>
        </w:rPr>
        <w:t xml:space="preserve">Can Assessments Motivate?” by Richard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 in </w:t>
      </w:r>
      <w:r w:rsidRPr="008D0605">
        <w:rPr>
          <w:i/>
          <w:szCs w:val="22"/>
        </w:rPr>
        <w:t>Educational Leadership</w:t>
      </w:r>
      <w:r>
        <w:rPr>
          <w:szCs w:val="22"/>
        </w:rPr>
        <w:t xml:space="preserve">, September 2014 (Vol. 72, #1, p. 38-40), </w:t>
      </w:r>
      <w:hyperlink r:id="rId5" w:history="1">
        <w:r w:rsidRPr="00A82DAF">
          <w:rPr>
            <w:rStyle w:val="Hyperlink"/>
            <w:szCs w:val="22"/>
          </w:rPr>
          <w:t>http://bit.ly/1si36QU</w:t>
        </w:r>
      </w:hyperlink>
      <w:r>
        <w:rPr>
          <w:szCs w:val="22"/>
        </w:rPr>
        <w:t xml:space="preserve">; </w:t>
      </w:r>
      <w:proofErr w:type="spellStart"/>
      <w:r>
        <w:rPr>
          <w:szCs w:val="22"/>
        </w:rPr>
        <w:t>Curwin</w:t>
      </w:r>
      <w:proofErr w:type="spellEnd"/>
      <w:r>
        <w:rPr>
          <w:szCs w:val="22"/>
        </w:rPr>
        <w:t xml:space="preserve"> is at </w:t>
      </w:r>
      <w:hyperlink r:id="rId6" w:history="1">
        <w:r w:rsidRPr="00A82DAF">
          <w:rPr>
            <w:rStyle w:val="Hyperlink"/>
            <w:szCs w:val="22"/>
          </w:rPr>
          <w:t>richardcurwin@gmail.com</w:t>
        </w:r>
      </w:hyperlink>
      <w:r>
        <w:rPr>
          <w:szCs w:val="22"/>
        </w:rPr>
        <w:t xml:space="preserve">. </w:t>
      </w:r>
    </w:p>
    <w:p w:rsidR="00B2707C" w:rsidRPr="00F619AE" w:rsidRDefault="00B2707C" w:rsidP="00B2707C">
      <w:pPr>
        <w:spacing w:line="360" w:lineRule="auto"/>
        <w:jc w:val="center"/>
        <w:rPr>
          <w:i/>
          <w:color w:val="FF0000"/>
          <w:sz w:val="20"/>
          <w:szCs w:val="22"/>
        </w:rPr>
      </w:pPr>
      <w:r w:rsidRPr="00F619AE">
        <w:rPr>
          <w:i/>
          <w:color w:val="FF0000"/>
          <w:sz w:val="20"/>
          <w:szCs w:val="22"/>
        </w:rPr>
        <w:fldChar w:fldCharType="begin"/>
      </w:r>
      <w:r w:rsidRPr="00F619AE">
        <w:rPr>
          <w:i/>
          <w:color w:val="FF0000"/>
          <w:sz w:val="20"/>
          <w:szCs w:val="22"/>
        </w:rPr>
        <w:instrText xml:space="preserve"> HYPERLINK  \l "PageOne" </w:instrText>
      </w:r>
      <w:r w:rsidRPr="00F619AE">
        <w:rPr>
          <w:i/>
          <w:color w:val="FF0000"/>
          <w:sz w:val="20"/>
          <w:szCs w:val="22"/>
        </w:rPr>
      </w:r>
      <w:r w:rsidRPr="00F619AE">
        <w:rPr>
          <w:i/>
          <w:color w:val="FF0000"/>
          <w:sz w:val="20"/>
          <w:szCs w:val="22"/>
        </w:rPr>
        <w:fldChar w:fldCharType="separate"/>
      </w:r>
      <w:r w:rsidRPr="00F619AE">
        <w:rPr>
          <w:rStyle w:val="Hyperlink"/>
          <w:i/>
          <w:color w:val="FF0000"/>
          <w:sz w:val="20"/>
          <w:szCs w:val="22"/>
        </w:rPr>
        <w:t>Back to page one</w:t>
      </w:r>
      <w:r w:rsidRPr="00F619AE">
        <w:rPr>
          <w:i/>
          <w:color w:val="FF0000"/>
          <w:sz w:val="20"/>
          <w:szCs w:val="22"/>
        </w:rPr>
        <w:fldChar w:fldCharType="end"/>
      </w:r>
    </w:p>
    <w:p w:rsidR="00B2707C" w:rsidRDefault="00B2707C" w:rsidP="00B2707C">
      <w:pPr>
        <w:spacing w:line="360" w:lineRule="auto"/>
        <w:rPr>
          <w:szCs w:val="22"/>
        </w:rPr>
      </w:pPr>
    </w:p>
    <w:p w:rsidR="00876C3C" w:rsidRDefault="00876C3C">
      <w:bookmarkStart w:id="0" w:name="_GoBack"/>
      <w:bookmarkEnd w:id="0"/>
    </w:p>
    <w:sectPr w:rsidR="00876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07C"/>
    <w:rsid w:val="00876C3C"/>
    <w:rsid w:val="00B2707C"/>
    <w:rsid w:val="00C3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7C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2707C"/>
    <w:pPr>
      <w:keepNext/>
      <w:outlineLvl w:val="0"/>
    </w:pPr>
    <w:rPr>
      <w:rFonts w:ascii="Palatino" w:hAnsi="Palatino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707C"/>
    <w:rPr>
      <w:rFonts w:ascii="Palatino" w:eastAsia="Times New Roman" w:hAnsi="Palatino" w:cs="Times New Roman"/>
      <w:b/>
      <w:sz w:val="24"/>
      <w:szCs w:val="24"/>
    </w:rPr>
  </w:style>
  <w:style w:type="character" w:styleId="Hyperlink">
    <w:name w:val="Hyperlink"/>
    <w:rsid w:val="00B2707C"/>
    <w:rPr>
      <w:color w:val="0000FF"/>
      <w:u w:val="single"/>
    </w:rPr>
  </w:style>
  <w:style w:type="paragraph" w:styleId="Footer">
    <w:name w:val="footer"/>
    <w:basedOn w:val="Normal"/>
    <w:link w:val="FooterChar"/>
    <w:semiHidden/>
    <w:rsid w:val="00B270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2707C"/>
    <w:rPr>
      <w:rFonts w:ascii="Times" w:eastAsia="Times New Roman" w:hAnsi="Times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07C"/>
    <w:pPr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2707C"/>
    <w:pPr>
      <w:keepNext/>
      <w:outlineLvl w:val="0"/>
    </w:pPr>
    <w:rPr>
      <w:rFonts w:ascii="Palatino" w:hAnsi="Palatino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2707C"/>
    <w:rPr>
      <w:rFonts w:ascii="Palatino" w:eastAsia="Times New Roman" w:hAnsi="Palatino" w:cs="Times New Roman"/>
      <w:b/>
      <w:sz w:val="24"/>
      <w:szCs w:val="24"/>
    </w:rPr>
  </w:style>
  <w:style w:type="character" w:styleId="Hyperlink">
    <w:name w:val="Hyperlink"/>
    <w:rsid w:val="00B2707C"/>
    <w:rPr>
      <w:color w:val="0000FF"/>
      <w:u w:val="single"/>
    </w:rPr>
  </w:style>
  <w:style w:type="paragraph" w:styleId="Footer">
    <w:name w:val="footer"/>
    <w:basedOn w:val="Normal"/>
    <w:link w:val="FooterChar"/>
    <w:semiHidden/>
    <w:rsid w:val="00B270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2707C"/>
    <w:rPr>
      <w:rFonts w:ascii="Times" w:eastAsia="Times New Roman" w:hAnsi="Times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ichardcurwin@gmail.com" TargetMode="External"/><Relationship Id="rId5" Type="http://schemas.openxmlformats.org/officeDocument/2006/relationships/hyperlink" Target="http://bit.ly/1si36Q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</dc:creator>
  <cp:lastModifiedBy>Judi</cp:lastModifiedBy>
  <cp:revision>1</cp:revision>
  <dcterms:created xsi:type="dcterms:W3CDTF">2015-03-10T12:18:00Z</dcterms:created>
  <dcterms:modified xsi:type="dcterms:W3CDTF">2015-03-10T12:18:00Z</dcterms:modified>
</cp:coreProperties>
</file>